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9096" w14:textId="77777777" w:rsidR="002C347D" w:rsidRPr="002C347D" w:rsidRDefault="002C347D" w:rsidP="002C347D">
      <w:pPr>
        <w:shd w:val="clear" w:color="auto" w:fill="FFFFFF"/>
        <w:spacing w:before="120" w:after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FF0000"/>
          <w:kern w:val="0"/>
          <w:sz w:val="71"/>
          <w:szCs w:val="44"/>
          <w14:ligatures w14:val="none"/>
        </w:rPr>
      </w:pPr>
      <w:r w:rsidRPr="002C347D">
        <w:rPr>
          <w:rFonts w:ascii="Roboto Condensed" w:eastAsia="Times New Roman" w:hAnsi="Roboto Condensed" w:cs="Times New Roman"/>
          <w:b/>
          <w:bCs/>
          <w:color w:val="FF0000"/>
          <w:kern w:val="0"/>
          <w:sz w:val="71"/>
          <w:szCs w:val="44"/>
          <w14:ligatures w14:val="none"/>
        </w:rPr>
        <w:t>#GenderEqualityForMen</w:t>
      </w:r>
    </w:p>
    <w:p w14:paraId="7F7F0BDC" w14:textId="5892FF4D" w:rsidR="002C347D" w:rsidRPr="002C347D" w:rsidRDefault="002C347D" w:rsidP="002C34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  <w:t xml:space="preserve">The </w:t>
      </w:r>
      <w:r w:rsidR="00182A79"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  <w:t>Universal Declaration of Human Rights promises equal rights for men and women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  <w:t>. Around the world, men and boys are lagging in 12 major</w:t>
      </w:r>
      <w:r w:rsidR="0039028E"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  <w:t xml:space="preserve"> areas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9"/>
          <w:szCs w:val="29"/>
          <w14:ligatures w14:val="none"/>
        </w:rPr>
        <w:t>:</w:t>
      </w:r>
    </w:p>
    <w:p w14:paraId="47F7013D" w14:textId="77777777" w:rsidR="002C347D" w:rsidRPr="002C347D" w:rsidRDefault="002C347D" w:rsidP="002C3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Education</w:t>
      </w:r>
      <w:r w:rsidRPr="002C347D">
        <w:rPr>
          <w:rFonts w:ascii="Times New Roman" w:eastAsia="Times New Roman" w:hAnsi="Times New Roman" w:cs="Times New Roman"/>
          <w:i/>
          <w:iCs/>
          <w:color w:val="171A26"/>
          <w:kern w:val="0"/>
          <w:sz w:val="24"/>
          <w:szCs w:val="24"/>
          <w14:ligatures w14:val="none"/>
        </w:rPr>
        <w:t>:</w:t>
      </w:r>
    </w:p>
    <w:p w14:paraId="69F766FC" w14:textId="275AE7FF" w:rsidR="002C347D" w:rsidRPr="002C347D" w:rsidRDefault="002C347D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The </w:t>
      </w:r>
      <w:hyperlink r:id="rId5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World Bank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report</w:t>
      </w:r>
      <w:r w:rsidR="00B307E6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s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 xml:space="preserve">: </w:t>
      </w:r>
      <w:r w:rsidR="00B307E6" w:rsidRPr="00B307E6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“more than 100 countries have lower levels of male secondary and tertiary education enrollment and completion. Learning poverty rates—the proportion of children unable to read and understand a simple text at 10 years of age—are higher for boys than for girls in all regions and almost all countries of the world.”</w:t>
      </w:r>
    </w:p>
    <w:p w14:paraId="783C2E60" w14:textId="77777777" w:rsidR="002C347D" w:rsidRPr="002C347D" w:rsidRDefault="002C347D" w:rsidP="002C3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Health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</w:t>
      </w:r>
    </w:p>
    <w:p w14:paraId="37CC230B" w14:textId="77777777" w:rsidR="002C347D" w:rsidRPr="002C347D" w:rsidRDefault="00000000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hyperlink r:id="rId6" w:anchor=":~:text=The%20world%20average%20age%20of,data%20from%20the%20year%202021" w:history="1">
        <w:r w:rsidR="002C347D"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Lifespan</w:t>
        </w:r>
      </w:hyperlink>
      <w:r w:rsidR="002C347D"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gap of 5 years: Men: 68.9 years; Women: 73.9 years,</w:t>
      </w:r>
    </w:p>
    <w:p w14:paraId="2D6934BD" w14:textId="77777777" w:rsidR="002C347D" w:rsidRPr="002C347D" w:rsidRDefault="002C347D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Nearly three times higher </w:t>
      </w:r>
      <w:hyperlink r:id="rId7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suicide rates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than women: Men: 14.7/100,000 persons; Women: 5.3/100,000.</w:t>
      </w:r>
    </w:p>
    <w:p w14:paraId="330CF0B1" w14:textId="77777777" w:rsidR="0077470E" w:rsidRPr="002C347D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Boys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</w:t>
      </w:r>
    </w:p>
    <w:p w14:paraId="127A8C2C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97 million boys, compared to 63 million girls, are subjected to </w:t>
      </w:r>
      <w:hyperlink r:id="rId8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child labor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.</w:t>
      </w:r>
    </w:p>
    <w:p w14:paraId="0260391C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90% of </w:t>
      </w:r>
      <w:hyperlink r:id="rId9" w:anchor=":~:text=When%20genders%20were%20known%2C%2090,Instagram%2C%20then%20moves%20to%20Snapchat.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sextortion victims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are males.</w:t>
      </w:r>
    </w:p>
    <w:p w14:paraId="16DC27CC" w14:textId="40C2DB46" w:rsidR="0077470E" w:rsidRPr="0077470E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False Allegations:</w:t>
      </w:r>
    </w:p>
    <w:p w14:paraId="00DE5120" w14:textId="7A610548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71A26"/>
          <w:kern w:val="0"/>
          <w:sz w:val="26"/>
          <w:szCs w:val="26"/>
          <w14:ligatures w14:val="none"/>
        </w:rPr>
        <w:t>Most false allegations</w:t>
      </w:r>
      <w:r w:rsidR="000A2532">
        <w:rPr>
          <w:rFonts w:ascii="Times New Roman" w:eastAsia="Times New Roman" w:hAnsi="Times New Roman" w:cs="Times New Roman"/>
          <w:color w:val="171A26"/>
          <w:kern w:val="0"/>
          <w:sz w:val="26"/>
          <w:szCs w:val="26"/>
          <w14:ligatures w14:val="none"/>
        </w:rPr>
        <w:t xml:space="preserve"> of abuse</w:t>
      </w:r>
      <w:r>
        <w:rPr>
          <w:rFonts w:ascii="Times New Roman" w:eastAsia="Times New Roman" w:hAnsi="Times New Roman" w:cs="Times New Roman"/>
          <w:color w:val="171A26"/>
          <w:kern w:val="0"/>
          <w:sz w:val="26"/>
          <w:szCs w:val="26"/>
          <w14:ligatures w14:val="none"/>
        </w:rPr>
        <w:t xml:space="preserve"> target men.</w:t>
      </w:r>
    </w:p>
    <w:p w14:paraId="57251B56" w14:textId="77777777" w:rsidR="0077470E" w:rsidRPr="002C347D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6"/>
          <w:szCs w:val="26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Victims of Violence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6"/>
          <w:szCs w:val="26"/>
          <w14:ligatures w14:val="none"/>
        </w:rPr>
        <w:t>:</w:t>
      </w:r>
    </w:p>
    <w:p w14:paraId="45968962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Males account for 78% of all </w:t>
      </w:r>
      <w:hyperlink r:id="rId10" w:anchor="gid=1399870825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homicide victims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,</w:t>
      </w:r>
    </w:p>
    <w:p w14:paraId="7D55C0BC" w14:textId="65972F5F" w:rsidR="0077470E" w:rsidRDefault="0077470E" w:rsidP="002C3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4"/>
          <w:szCs w:val="24"/>
          <w14:ligatures w14:val="none"/>
        </w:rPr>
      </w:pPr>
      <w:r w:rsidRPr="0077470E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4"/>
          <w:szCs w:val="24"/>
          <w14:ligatures w14:val="none"/>
        </w:rPr>
        <w:t>Parenting</w:t>
      </w:r>
      <w:r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4"/>
          <w:szCs w:val="24"/>
          <w14:ligatures w14:val="none"/>
        </w:rPr>
        <w:t>:</w:t>
      </w:r>
    </w:p>
    <w:p w14:paraId="558EA4A8" w14:textId="5487E6B7" w:rsidR="0077470E" w:rsidRPr="0077470E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77470E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Men face extreme court biases</w:t>
      </w:r>
      <w:r w:rsidR="000A2532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 xml:space="preserve"> in custody decisions</w:t>
      </w:r>
      <w:r w:rsidRPr="0077470E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.</w:t>
      </w:r>
    </w:p>
    <w:p w14:paraId="3532B1DC" w14:textId="77777777" w:rsidR="0077470E" w:rsidRPr="002C347D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Legal System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</w:t>
      </w:r>
    </w:p>
    <w:p w14:paraId="74DE2474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More severe treatment of men at every step of the </w:t>
      </w:r>
      <w:hyperlink r:id="rId11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criminal-legal process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, including the treatment of persons accused of </w:t>
      </w:r>
      <w:hyperlink r:id="rId12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sex offenses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.</w:t>
      </w:r>
    </w:p>
    <w:p w14:paraId="1FF2BC90" w14:textId="77777777" w:rsidR="0077470E" w:rsidRPr="002C347D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Intimate Partner Violence and Abuse</w:t>
      </w:r>
      <w:r w:rsidRPr="002C347D">
        <w:rPr>
          <w:rFonts w:ascii="Times New Roman" w:eastAsia="Times New Roman" w:hAnsi="Times New Roman" w:cs="Times New Roman"/>
          <w:i/>
          <w:iCs/>
          <w:color w:val="171A26"/>
          <w:kern w:val="0"/>
          <w:sz w:val="24"/>
          <w:szCs w:val="24"/>
          <w14:ligatures w14:val="none"/>
        </w:rPr>
        <w:t>:</w:t>
      </w:r>
    </w:p>
    <w:p w14:paraId="3E38A4B9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Far fewer services are available for </w:t>
      </w:r>
      <w:hyperlink r:id="rId13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male victims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of domestic violence, even though men are equally likely to be </w:t>
      </w:r>
      <w:hyperlink r:id="rId14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abuse victims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.</w:t>
      </w:r>
    </w:p>
    <w:p w14:paraId="719ABC5E" w14:textId="77777777" w:rsidR="0077470E" w:rsidRPr="002C347D" w:rsidRDefault="0077470E" w:rsidP="0077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Homelessness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</w:t>
      </w:r>
    </w:p>
    <w:p w14:paraId="58395E01" w14:textId="77777777" w:rsidR="0077470E" w:rsidRPr="002C347D" w:rsidRDefault="0077470E" w:rsidP="0077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76% of </w:t>
      </w:r>
      <w:hyperlink r:id="rId15" w:anchor="gid=1526345150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homeless persons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are men.</w:t>
      </w:r>
    </w:p>
    <w:p w14:paraId="38190509" w14:textId="357FA7D1" w:rsidR="002C347D" w:rsidRPr="002C347D" w:rsidRDefault="002C347D" w:rsidP="002C3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Workplace</w:t>
      </w: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</w:t>
      </w:r>
    </w:p>
    <w:p w14:paraId="32E303F6" w14:textId="2BD82FF2" w:rsidR="002C347D" w:rsidRPr="002C347D" w:rsidRDefault="002C347D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Three times the number of </w:t>
      </w:r>
      <w:hyperlink r:id="rId16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occupational deaths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, compared to women: Men: 51.4/100,000 working age adults, Women: 17.2/100,000.</w:t>
      </w:r>
      <w:r w:rsidR="0077470E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 xml:space="preserve"> </w:t>
      </w:r>
    </w:p>
    <w:p w14:paraId="24D54833" w14:textId="1FCB7CFC" w:rsidR="002C347D" w:rsidRPr="0077470E" w:rsidRDefault="002C347D" w:rsidP="0077470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77470E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Reproductive Rights</w:t>
      </w:r>
      <w:r w:rsidRPr="0077470E">
        <w:rPr>
          <w:rFonts w:ascii="Times New Roman" w:eastAsia="Times New Roman" w:hAnsi="Times New Roman" w:cs="Times New Roman"/>
          <w:i/>
          <w:iCs/>
          <w:color w:val="171A26"/>
          <w:kern w:val="0"/>
          <w:sz w:val="24"/>
          <w:szCs w:val="24"/>
          <w14:ligatures w14:val="none"/>
        </w:rPr>
        <w:t>:</w:t>
      </w:r>
    </w:p>
    <w:p w14:paraId="253F9908" w14:textId="4B5633D3" w:rsidR="002C347D" w:rsidRPr="002C347D" w:rsidRDefault="002C347D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Upon becoming pregnant, a woman can choose to have the baby, get an abortion, or put the baby up for adoption. Men have none of these </w:t>
      </w:r>
      <w:hyperlink r:id="rId17" w:history="1">
        <w:r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rights</w:t>
        </w:r>
      </w:hyperlink>
      <w:r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.</w:t>
      </w:r>
    </w:p>
    <w:p w14:paraId="489F0BEF" w14:textId="77777777" w:rsidR="002C347D" w:rsidRPr="002C347D" w:rsidRDefault="002C347D" w:rsidP="002C3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r w:rsidRPr="002C347D">
        <w:rPr>
          <w:rFonts w:ascii="Times New Roman" w:eastAsia="Times New Roman" w:hAnsi="Times New Roman" w:cs="Times New Roman"/>
          <w:b/>
          <w:bCs/>
          <w:i/>
          <w:iCs/>
          <w:color w:val="171A26"/>
          <w:kern w:val="0"/>
          <w:sz w:val="26"/>
          <w:szCs w:val="26"/>
          <w14:ligatures w14:val="none"/>
        </w:rPr>
        <w:t>Media Portrayals</w:t>
      </w:r>
      <w:r w:rsidRPr="002C347D">
        <w:rPr>
          <w:rFonts w:ascii="Times New Roman" w:eastAsia="Times New Roman" w:hAnsi="Times New Roman" w:cs="Times New Roman"/>
          <w:i/>
          <w:iCs/>
          <w:color w:val="171A26"/>
          <w:kern w:val="0"/>
          <w:sz w:val="24"/>
          <w:szCs w:val="24"/>
          <w14:ligatures w14:val="none"/>
        </w:rPr>
        <w:t>:</w:t>
      </w:r>
    </w:p>
    <w:p w14:paraId="189998CF" w14:textId="77777777" w:rsidR="002C347D" w:rsidRDefault="00000000" w:rsidP="002C34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</w:pPr>
      <w:hyperlink r:id="rId18" w:history="1">
        <w:r w:rsidR="002C347D" w:rsidRPr="002C347D">
          <w:rPr>
            <w:rFonts w:ascii="Times New Roman" w:eastAsia="Times New Roman" w:hAnsi="Times New Roman" w:cs="Times New Roman"/>
            <w:color w:val="99478C"/>
            <w:kern w:val="0"/>
            <w:sz w:val="24"/>
            <w:szCs w:val="24"/>
            <w:u w:val="single"/>
            <w14:ligatures w14:val="none"/>
          </w:rPr>
          <w:t>Reporting and commentary</w:t>
        </w:r>
      </w:hyperlink>
      <w:r w:rsidR="002C347D" w:rsidRPr="002C347D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 about men: 69% unfavorable, 12% favorable, and 19% neutral or balanced.</w:t>
      </w:r>
    </w:p>
    <w:p w14:paraId="2F10E28A" w14:textId="0D90937E" w:rsidR="00AD746E" w:rsidRPr="00182A79" w:rsidRDefault="00182A79" w:rsidP="00EA05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71A26"/>
          <w:kern w:val="0"/>
          <w:sz w:val="28"/>
          <w:szCs w:val="28"/>
          <w14:ligatures w14:val="none"/>
        </w:rPr>
        <w:t>Please support our global efforts to assure #GenderEqualityForMen!</w:t>
      </w:r>
    </w:p>
    <w:p w14:paraId="4B352670" w14:textId="6DFB1E57" w:rsidR="00715095" w:rsidRPr="00A91BA0" w:rsidRDefault="00A91BA0" w:rsidP="00EA05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A26"/>
          <w:kern w:val="0"/>
          <w:sz w:val="28"/>
          <w:szCs w:val="28"/>
          <w14:ligatures w14:val="none"/>
        </w:rPr>
      </w:pPr>
      <w:r w:rsidRPr="00182A79">
        <w:rPr>
          <w:rFonts w:ascii="Times New Roman" w:eastAsia="Times New Roman" w:hAnsi="Times New Roman" w:cs="Times New Roman"/>
          <w:i/>
          <w:iCs/>
          <w:color w:val="171A26"/>
          <w:kern w:val="0"/>
          <w:sz w:val="24"/>
          <w:szCs w:val="24"/>
          <w14:ligatures w14:val="none"/>
        </w:rPr>
        <w:t>Source</w:t>
      </w:r>
      <w:r w:rsidRPr="00182A79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>: International Council on the Status of Men and Boys.</w:t>
      </w:r>
      <w:r w:rsidR="0039028E" w:rsidRPr="00182A79">
        <w:rPr>
          <w:rFonts w:ascii="Times New Roman" w:eastAsia="Times New Roman" w:hAnsi="Times New Roman" w:cs="Times New Roman"/>
          <w:color w:val="171A26"/>
          <w:kern w:val="0"/>
          <w:sz w:val="24"/>
          <w:szCs w:val="24"/>
          <w14:ligatures w14:val="none"/>
        </w:rPr>
        <w:t xml:space="preserve"> </w:t>
      </w:r>
      <w:hyperlink r:id="rId19" w:history="1">
        <w:r w:rsidR="0077470E" w:rsidRPr="00881E48">
          <w:rPr>
            <w:rStyle w:val="Hyperlink"/>
          </w:rPr>
          <w:t>www.menandboys.net</w:t>
        </w:r>
      </w:hyperlink>
      <w:r w:rsidR="0077470E">
        <w:t xml:space="preserve"> </w:t>
      </w:r>
    </w:p>
    <w:sectPr w:rsidR="00715095" w:rsidRPr="00A91BA0" w:rsidSect="000C7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5C3B"/>
    <w:multiLevelType w:val="multilevel"/>
    <w:tmpl w:val="37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27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7D"/>
    <w:rsid w:val="000A2532"/>
    <w:rsid w:val="000A2F81"/>
    <w:rsid w:val="000C7366"/>
    <w:rsid w:val="00182A79"/>
    <w:rsid w:val="002C347D"/>
    <w:rsid w:val="00366D69"/>
    <w:rsid w:val="0039028E"/>
    <w:rsid w:val="00571AB0"/>
    <w:rsid w:val="00633C08"/>
    <w:rsid w:val="00715095"/>
    <w:rsid w:val="0077470E"/>
    <w:rsid w:val="008D1305"/>
    <w:rsid w:val="00A91BA0"/>
    <w:rsid w:val="00AD746E"/>
    <w:rsid w:val="00B307E6"/>
    <w:rsid w:val="00D85BF7"/>
    <w:rsid w:val="00E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BCDE"/>
  <w15:chartTrackingRefBased/>
  <w15:docId w15:val="{1390CEBF-A48A-452E-BAB1-E96841A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347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2C3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347D"/>
    <w:rPr>
      <w:i/>
      <w:iCs/>
    </w:rPr>
  </w:style>
  <w:style w:type="character" w:styleId="Hyperlink">
    <w:name w:val="Hyperlink"/>
    <w:basedOn w:val="DefaultParagraphFont"/>
    <w:uiPriority w:val="99"/>
    <w:unhideWhenUsed/>
    <w:rsid w:val="002C34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4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7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4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ipec/Informationresources/WCMS_797515/lang--en/index.htm" TargetMode="External"/><Relationship Id="rId13" Type="http://schemas.openxmlformats.org/officeDocument/2006/relationships/hyperlink" Target="https://endtodv.org/wp-content/uploads/2022/01/Discrimination-Against-Male-Victims.pdf" TargetMode="External"/><Relationship Id="rId18" Type="http://schemas.openxmlformats.org/officeDocument/2006/relationships/hyperlink" Target="https://www.amazon.com/Media-Male-Identity-Making-Remaking/dp/023000167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pps.who.int/iris/bitstream/handle/10665/326948/WHO-MSD-MER-19.3-eng.pdf" TargetMode="External"/><Relationship Id="rId12" Type="http://schemas.openxmlformats.org/officeDocument/2006/relationships/hyperlink" Target="https://digitalcommons.kean.edu/keanquest/vol4/iss2/6/" TargetMode="External"/><Relationship Id="rId17" Type="http://schemas.openxmlformats.org/officeDocument/2006/relationships/hyperlink" Target="https://digitalcommons.pepperdine.edu/plr/vol47/iss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lo.org/wcmsp5/groups/public/---ed_protect/---protrav/---safework/documents/publication/wcms_90314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rlddata.info/life-expectancy.php" TargetMode="External"/><Relationship Id="rId11" Type="http://schemas.openxmlformats.org/officeDocument/2006/relationships/hyperlink" Target="https://www.researchgate.net/publication/256027303_Estimating_Gender_Disparities_in_Federal_Criminal_Cases" TargetMode="External"/><Relationship Id="rId5" Type="http://schemas.openxmlformats.org/officeDocument/2006/relationships/hyperlink" Target="https://issuu.com/world.bank.publications/docs/9780821388105" TargetMode="External"/><Relationship Id="rId15" Type="http://schemas.openxmlformats.org/officeDocument/2006/relationships/hyperlink" Target="https://docs.google.com/spreadsheets/d/1hf1zRYHNDJjvunWWeoOl33VTVmPADtijzMniAmxBPRE/edit" TargetMode="External"/><Relationship Id="rId10" Type="http://schemas.openxmlformats.org/officeDocument/2006/relationships/hyperlink" Target="https://docs.google.com/spreadsheets/d/1hf1zRYHNDJjvunWWeoOl33VTVmPADtijzMniAmxBPRE/edit" TargetMode="External"/><Relationship Id="rId19" Type="http://schemas.openxmlformats.org/officeDocument/2006/relationships/hyperlink" Target="http://www.menandboy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tip.ca/en/online-harms/sextortion/" TargetMode="External"/><Relationship Id="rId14" Type="http://schemas.openxmlformats.org/officeDocument/2006/relationships/hyperlink" Target="https://www.researchgate.net/publication/261543769_References_Examining_Assaults_by_Women_on_Their_Spouses_or_Male_Partners_An_Updated_Annotated_Bibli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Bartlett</dc:creator>
  <cp:keywords/>
  <dc:description/>
  <cp:lastModifiedBy>Edward Bartlett</cp:lastModifiedBy>
  <cp:revision>7</cp:revision>
  <cp:lastPrinted>2024-03-08T13:23:00Z</cp:lastPrinted>
  <dcterms:created xsi:type="dcterms:W3CDTF">2024-03-07T19:21:00Z</dcterms:created>
  <dcterms:modified xsi:type="dcterms:W3CDTF">2024-09-16T01:33:00Z</dcterms:modified>
</cp:coreProperties>
</file>